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3FD9">
      <w:pPr>
        <w:kinsoku w:val="0"/>
        <w:overflowPunct w:val="0"/>
        <w:autoSpaceDE/>
        <w:autoSpaceDN/>
        <w:adjustRightInd/>
        <w:spacing w:line="274" w:lineRule="exact"/>
        <w:jc w:val="center"/>
        <w:textAlignment w:val="baseline"/>
        <w:rPr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3"/>
          <w:szCs w:val="23"/>
          <w:lang w:val="es-ES" w:eastAsia="es-ES"/>
        </w:rPr>
        <w:t>RESOLUCION No. TAT-2477-2015</w:t>
      </w:r>
    </w:p>
    <w:p w:rsidR="00000000" w:rsidRDefault="00AD3FD9">
      <w:pPr>
        <w:kinsoku w:val="0"/>
        <w:overflowPunct w:val="0"/>
        <w:autoSpaceDE/>
        <w:autoSpaceDN/>
        <w:adjustRightInd/>
        <w:spacing w:before="582" w:line="296" w:lineRule="exact"/>
        <w:ind w:left="144"/>
        <w:jc w:val="both"/>
        <w:textAlignment w:val="baseline"/>
        <w:rPr>
          <w:rFonts w:ascii="Verdana" w:hAnsi="Verdana" w:cs="Verdana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z w:val="23"/>
          <w:szCs w:val="23"/>
          <w:lang w:val="es-ES" w:eastAsia="es-ES"/>
        </w:rPr>
        <w:t>San José</w:t>
      </w:r>
      <w:r>
        <w:rPr>
          <w:rFonts w:ascii="Verdana" w:hAnsi="Verdana" w:cs="Verdana"/>
          <w:sz w:val="23"/>
          <w:szCs w:val="23"/>
          <w:lang w:val="es-ES" w:eastAsia="es-ES"/>
        </w:rPr>
        <w:t>, a las doce horas diez minutos del veintisiete de febrero de dos mil quince.</w:t>
      </w:r>
    </w:p>
    <w:p w:rsidR="00000000" w:rsidRDefault="00AD3FD9" w:rsidP="00EB32FC">
      <w:pPr>
        <w:kinsoku w:val="0"/>
        <w:overflowPunct w:val="0"/>
        <w:autoSpaceDE/>
        <w:autoSpaceDN/>
        <w:adjustRightInd/>
        <w:spacing w:before="604" w:line="232" w:lineRule="exact"/>
        <w:ind w:left="142"/>
        <w:jc w:val="both"/>
        <w:textAlignment w:val="baseline"/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24"/>
          <w:sz w:val="19"/>
          <w:szCs w:val="19"/>
          <w:lang w:val="es-ES" w:eastAsia="es-ES"/>
        </w:rPr>
        <w:t>RECURSO DE APELACIÓN EN SUBSIDIO Y NULIDAD CONCOMITANTE,</w:t>
      </w:r>
      <w:r w:rsidR="00EB32FC">
        <w:rPr>
          <w:rFonts w:ascii="Verdana" w:hAnsi="Verdana" w:cs="Verdana"/>
          <w:b/>
          <w:bCs/>
          <w:spacing w:val="24"/>
          <w:sz w:val="19"/>
          <w:szCs w:val="19"/>
          <w:lang w:val="es-ES" w:eastAsia="es-ES"/>
        </w:rPr>
        <w:t xml:space="preserve">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presentado por la empresa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T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.H.G.Y.P.S.A.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 cédula jurídica 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>por medio de sus Apoderado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s Generalísimos sin Límite de Suma señores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D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.Q.S.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cédula de identidad número </w:t>
      </w:r>
      <w:r w:rsidR="00EB32FC">
        <w:rPr>
          <w:rFonts w:ascii="Verdana" w:hAnsi="Verdana" w:cs="Verdana"/>
          <w:spacing w:val="6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 y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P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.D.Q.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cédula de identidad número </w:t>
      </w:r>
      <w:r w:rsidR="00EB32FC">
        <w:rPr>
          <w:rFonts w:ascii="Verdana" w:hAnsi="Verdana" w:cs="Verdana"/>
          <w:spacing w:val="6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, contra el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Artículo 7.1 de la Sesión Ordinaria 94-2013, celebrada el 12 de diciembre de 2013 y e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l Artículo 7.1 de la Sesión Ordinaria 85-2013, celebrada el 20 de noviembre de 2013 por la Junta Directiva del Consejo de Transporte Público.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El caso es tramitado en este Despacho bajo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Expediente Administrativo No. TAT-236-14.</w:t>
      </w:r>
    </w:p>
    <w:p w:rsidR="00000000" w:rsidRDefault="00AD3FD9">
      <w:pPr>
        <w:kinsoku w:val="0"/>
        <w:overflowPunct w:val="0"/>
        <w:autoSpaceDE/>
        <w:autoSpaceDN/>
        <w:adjustRightInd/>
        <w:spacing w:before="588" w:line="280" w:lineRule="exact"/>
        <w:jc w:val="center"/>
        <w:textAlignment w:val="baseline"/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3"/>
          <w:szCs w:val="23"/>
          <w:lang w:val="es-ES" w:eastAsia="es-ES"/>
        </w:rPr>
        <w:t>RESULTANDO</w:t>
      </w:r>
    </w:p>
    <w:p w:rsidR="00000000" w:rsidRDefault="00AD3FD9">
      <w:pPr>
        <w:kinsoku w:val="0"/>
        <w:overflowPunct w:val="0"/>
        <w:autoSpaceDE/>
        <w:autoSpaceDN/>
        <w:adjustRightInd/>
        <w:spacing w:before="604" w:line="293" w:lineRule="exact"/>
        <w:ind w:left="144"/>
        <w:jc w:val="both"/>
        <w:textAlignment w:val="baseline"/>
        <w:rPr>
          <w:rFonts w:ascii="Verdana" w:hAnsi="Verdana" w:cs="Verdana"/>
          <w:spacing w:val="6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PRIMERO: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Artículo 7.1 de la Sesión Ordinaria 94-2013, celebrada el 12 de diciembre de 2013, </w:t>
      </w:r>
      <w:r>
        <w:rPr>
          <w:rFonts w:ascii="Verdana" w:hAnsi="Verdana" w:cs="Verdana"/>
          <w:b/>
          <w:bCs/>
          <w:spacing w:val="6"/>
          <w:sz w:val="19"/>
          <w:szCs w:val="19"/>
          <w:lang w:val="es-ES" w:eastAsia="es-ES"/>
        </w:rPr>
        <w:t xml:space="preserve">LA JUNTA DIRECTIVA DEL CONSEJO DE TRANSPORTE PÚBLICO,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conoce y aprueba el informe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DTE 2013-0633,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>referente a avance de situación de la contratació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n de la empresa RACSA para llevar a cabo el procedimiento abreviado para pasar de permisos a concesiones, en los términos del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Decreto Ejecutivo número 37737-MOPT,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>en éste acuerdo se aprueba la precalificación a dos empresas y se rechaza un gran número de o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>ferentes, no obstante, no se menciona en ningún apartado a la recurrente. (Léanse folios 90 al 98 del expediente administrativo)</w:t>
      </w:r>
    </w:p>
    <w:p w:rsidR="00000000" w:rsidRDefault="00AD3FD9">
      <w:pPr>
        <w:kinsoku w:val="0"/>
        <w:overflowPunct w:val="0"/>
        <w:autoSpaceDE/>
        <w:autoSpaceDN/>
        <w:adjustRightInd/>
        <w:spacing w:before="298" w:after="609" w:line="289" w:lineRule="exact"/>
        <w:ind w:left="144"/>
        <w:jc w:val="both"/>
        <w:textAlignment w:val="baseline"/>
        <w:rPr>
          <w:rFonts w:ascii="Verdana" w:hAnsi="Verdana" w:cs="Verdana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SEGUNDO: 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Artículo 7.1 de la Sesión Ordinaria 85-2013, celebrada el 20 de noviembre de 2013, </w:t>
      </w: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>LA JUNTA DIRECTIVA DEL CON</w:t>
      </w: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 xml:space="preserve">SEJO DE TRANSPORTE PÚBLICO, 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conoce y aprueba el informe </w:t>
      </w:r>
      <w:r>
        <w:rPr>
          <w:rFonts w:ascii="Verdana" w:hAnsi="Verdana" w:cs="Verdana"/>
          <w:b/>
          <w:bCs/>
          <w:sz w:val="23"/>
          <w:szCs w:val="23"/>
          <w:lang w:val="es-ES" w:eastAsia="es-ES"/>
        </w:rPr>
        <w:t xml:space="preserve">DTE 2013-0677, </w:t>
      </w:r>
      <w:r>
        <w:rPr>
          <w:rFonts w:ascii="Verdana" w:hAnsi="Verdana" w:cs="Verdana"/>
          <w:sz w:val="23"/>
          <w:szCs w:val="23"/>
          <w:lang w:val="es-ES" w:eastAsia="es-ES"/>
        </w:rPr>
        <w:t>referente a avance de situación de la contratación de la</w:t>
      </w:r>
    </w:p>
    <w:p w:rsidR="00000000" w:rsidRDefault="00AD3FD9">
      <w:pPr>
        <w:widowControl/>
        <w:rPr>
          <w:sz w:val="24"/>
          <w:szCs w:val="24"/>
        </w:rPr>
        <w:sectPr w:rsidR="00000000">
          <w:pgSz w:w="12134" w:h="15840"/>
          <w:pgMar w:top="1300" w:right="1459" w:bottom="344" w:left="1655" w:header="720" w:footer="720" w:gutter="0"/>
          <w:cols w:space="720"/>
          <w:noEndnote/>
        </w:sectPr>
      </w:pPr>
    </w:p>
    <w:p w:rsidR="00000000" w:rsidRDefault="00AD3FD9">
      <w:pPr>
        <w:tabs>
          <w:tab w:val="right" w:pos="3024"/>
        </w:tabs>
        <w:kinsoku w:val="0"/>
        <w:overflowPunct w:val="0"/>
        <w:autoSpaceDE/>
        <w:autoSpaceDN/>
        <w:adjustRightInd/>
        <w:spacing w:before="2" w:line="224" w:lineRule="exact"/>
        <w:textAlignment w:val="baseline"/>
        <w:rPr>
          <w:rFonts w:ascii="Verdana" w:hAnsi="Verdana" w:cs="Verdana"/>
          <w:sz w:val="19"/>
          <w:szCs w:val="19"/>
          <w:lang w:val="es-ES" w:eastAsia="es-ES"/>
        </w:rPr>
      </w:pPr>
      <w:r>
        <w:rPr>
          <w:rFonts w:ascii="Verdana" w:hAnsi="Verdana" w:cs="Verdana"/>
          <w:sz w:val="19"/>
          <w:szCs w:val="19"/>
          <w:lang w:val="es-ES" w:eastAsia="es-ES"/>
        </w:rPr>
        <w:lastRenderedPageBreak/>
        <w:tab/>
      </w:r>
    </w:p>
    <w:p w:rsidR="00000000" w:rsidRDefault="00AD3FD9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00" w:right="1481" w:bottom="344" w:left="7613" w:header="720" w:footer="720" w:gutter="0"/>
          <w:cols w:space="720"/>
          <w:noEndnote/>
        </w:sectPr>
      </w:pPr>
    </w:p>
    <w:p w:rsidR="00000000" w:rsidRDefault="00AD3FD9">
      <w:pPr>
        <w:kinsoku w:val="0"/>
        <w:overflowPunct w:val="0"/>
        <w:autoSpaceDE/>
        <w:autoSpaceDN/>
        <w:adjustRightInd/>
        <w:spacing w:before="13" w:line="293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lastRenderedPageBreak/>
        <w:t xml:space="preserve">empresa RACSA para llevar a cabo el procedimiento abreviado para pasar de permisos a concesiones, en los términos del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Decreto Ejecutivo número 37737-MOPT,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en éste acuerdo se dispone en su POR TANTO SEGUNDO " 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>instruir a la Dirección Técnica para que en lo r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 xml:space="preserve">eferente a las empresas con fusiones pendientes, depurar aquellos casos en los que ya fueron resueltos por este consejo y presentar un informe sobre los pendientes en un plazo de 8 días" </w:t>
      </w:r>
      <w:r>
        <w:rPr>
          <w:rFonts w:ascii="Verdana" w:hAnsi="Verdana" w:cs="Verdana"/>
          <w:sz w:val="24"/>
          <w:szCs w:val="24"/>
          <w:lang w:val="es-ES" w:eastAsia="es-ES"/>
        </w:rPr>
        <w:t>Dentro de estas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 empresas indicadas en este aparte dispositivo se encuentra la empresa recurrente. (Léanse folios 100 al 108 del expediente administrativo)</w:t>
      </w:r>
    </w:p>
    <w:p w:rsidR="00000000" w:rsidRDefault="00AD3FD9">
      <w:pPr>
        <w:kinsoku w:val="0"/>
        <w:overflowPunct w:val="0"/>
        <w:autoSpaceDE/>
        <w:autoSpaceDN/>
        <w:adjustRightInd/>
        <w:spacing w:before="274" w:line="301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TERCERO: </w:t>
      </w:r>
      <w:r>
        <w:rPr>
          <w:rFonts w:ascii="Verdana" w:hAnsi="Verdana" w:cs="Verdana"/>
          <w:sz w:val="24"/>
          <w:szCs w:val="24"/>
          <w:lang w:val="es-ES" w:eastAsia="es-ES"/>
        </w:rPr>
        <w:t>La recurrente por medio de sus apoderados Generalísimos sin Límite de suma presentan Recurso de Apelación e</w:t>
      </w:r>
      <w:r>
        <w:rPr>
          <w:rFonts w:ascii="Verdana" w:hAnsi="Verdana" w:cs="Verdana"/>
          <w:sz w:val="24"/>
          <w:szCs w:val="24"/>
          <w:lang w:val="es-ES" w:eastAsia="es-ES"/>
        </w:rPr>
        <w:t>n Subsidio y Nulidad concomitante e indican en lo que interesa para el caso lo siguiente: (Léanse folios del 44 al 54 del expediente administrativo)</w:t>
      </w:r>
    </w:p>
    <w:p w:rsidR="00000000" w:rsidRDefault="00AD3FD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2" w:line="294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Manifiestan que aunque presentaron todos los documentos requeridos y cumplieron a cabalidad con los r</w:t>
      </w:r>
      <w:r>
        <w:rPr>
          <w:rFonts w:ascii="Verdana" w:hAnsi="Verdana" w:cs="Verdana"/>
          <w:sz w:val="24"/>
          <w:szCs w:val="24"/>
          <w:lang w:val="es-ES" w:eastAsia="es-ES"/>
        </w:rPr>
        <w:t>equisitos exigidos para participar en el procedimiento abreviado de trato, revisados que fueran los acuerdos impugnados en ninguno de ellos aparecen mencionadas las rutas que sirve su representada.</w:t>
      </w:r>
    </w:p>
    <w:p w:rsidR="00000000" w:rsidRDefault="00AD3F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78" w:line="300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Nunca se les ha notificado o prevenido ningún requis</w:t>
      </w:r>
      <w:r>
        <w:rPr>
          <w:rFonts w:ascii="Verdana" w:hAnsi="Verdana" w:cs="Verdana"/>
          <w:sz w:val="24"/>
          <w:szCs w:val="24"/>
          <w:lang w:val="es-ES" w:eastAsia="es-ES"/>
        </w:rPr>
        <w:t>ito faltante que deban cumplir, por lo que los están perjudicando al dilatar un proceso en perjuicio de su representada, en clara violación al debido proceso y al principio de seguridad jurídica.</w:t>
      </w:r>
    </w:p>
    <w:p w:rsidR="00000000" w:rsidRDefault="00AD3F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86" w:line="300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Existe Nulidad de notificación de los acuerdos impugnados.</w:t>
      </w:r>
    </w:p>
    <w:p w:rsidR="00000000" w:rsidRDefault="00AD3FD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73" w:line="300" w:lineRule="exact"/>
        <w:ind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Solicita se admita solicitud de aclaración y adición, se admita el incidente de suspensión de actuaciones, se les notifiquen los informes técnicos que los sustentan y se emita un acuerdo nuevo en el que se les incluya dentro de la lista de precalificados.</w:t>
      </w:r>
    </w:p>
    <w:p w:rsidR="00000000" w:rsidRDefault="00AD3FD9">
      <w:pPr>
        <w:kinsoku w:val="0"/>
        <w:overflowPunct w:val="0"/>
        <w:autoSpaceDE/>
        <w:autoSpaceDN/>
        <w:adjustRightInd/>
        <w:spacing w:before="302" w:line="292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CUARTO: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Mediante acuerdo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8.1.24 de la Sesión Ordinaria 51-2014 celebrada el día 17 de setiembre de 2014, 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por la Junta Directiva del CTP, se conoce y avala el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oficio DAJ-2014-000979 </w:t>
      </w:r>
      <w:r>
        <w:rPr>
          <w:rFonts w:ascii="Verdana" w:hAnsi="Verdana" w:cs="Verdana"/>
          <w:sz w:val="24"/>
          <w:szCs w:val="24"/>
          <w:lang w:val="es-ES" w:eastAsia="es-ES"/>
        </w:rPr>
        <w:t>de la Dirección de Asuntos Jurídicos del 10 de marzo de 2014 y se rechaza e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l Recurso de Revocatoria por dos razones a saber falta de legitimación en cuanto al acuerdo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7.1 de la Sesión Ordinaria 94-2013, celebrada el 12 de diciembre de 2013, </w:t>
      </w:r>
      <w:r>
        <w:rPr>
          <w:rFonts w:ascii="Verdana" w:hAnsi="Verdana" w:cs="Verdana"/>
          <w:sz w:val="24"/>
          <w:szCs w:val="24"/>
          <w:lang w:val="es-ES" w:eastAsia="es-ES"/>
        </w:rPr>
        <w:t>ya que este acto no menciona a la empresa y por lo tanto no le causa ningún estado, más aú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n cuando no se ha concluido el procedimiento abreviado y en cuanto al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Artículo 7.1 de la Sesión Ordinaria 85-2013, celebrada el 20 de noviembre de 2013, </w:t>
      </w:r>
      <w:r>
        <w:rPr>
          <w:rFonts w:ascii="Verdana" w:hAnsi="Verdana" w:cs="Verdana"/>
          <w:sz w:val="24"/>
          <w:szCs w:val="24"/>
          <w:lang w:val="es-ES" w:eastAsia="es-ES"/>
        </w:rPr>
        <w:t>indica el Consejo de Transporte Público que por su naturaleza en cuanto a lo</w:t>
      </w:r>
    </w:p>
    <w:p w:rsidR="00000000" w:rsidRDefault="00AD3FD9">
      <w:pPr>
        <w:tabs>
          <w:tab w:val="right" w:pos="9000"/>
        </w:tabs>
        <w:kinsoku w:val="0"/>
        <w:overflowPunct w:val="0"/>
        <w:autoSpaceDE/>
        <w:autoSpaceDN/>
        <w:adjustRightInd/>
        <w:spacing w:before="610" w:line="230" w:lineRule="exact"/>
        <w:ind w:left="5904" w:right="72"/>
        <w:textAlignment w:val="baseline"/>
        <w:rPr>
          <w:rFonts w:ascii="Verdana" w:hAnsi="Verdana" w:cs="Verdana"/>
          <w:sz w:val="13"/>
          <w:szCs w:val="13"/>
          <w:lang w:val="es-ES" w:eastAsia="es-ES"/>
        </w:rPr>
      </w:pPr>
      <w:r>
        <w:rPr>
          <w:rFonts w:ascii="Verdana" w:hAnsi="Verdana" w:cs="Verdana"/>
          <w:sz w:val="19"/>
          <w:szCs w:val="19"/>
          <w:lang w:val="es-ES" w:eastAsia="es-ES"/>
        </w:rPr>
        <w:tab/>
      </w:r>
    </w:p>
    <w:p w:rsidR="00000000" w:rsidRDefault="00AD3FD9">
      <w:pPr>
        <w:widowControl/>
        <w:rPr>
          <w:sz w:val="24"/>
          <w:szCs w:val="24"/>
        </w:rPr>
        <w:sectPr w:rsidR="00000000">
          <w:pgSz w:w="12134" w:h="15840"/>
          <w:pgMar w:top="1320" w:right="1408" w:bottom="324" w:left="1706" w:header="720" w:footer="720" w:gutter="0"/>
          <w:cols w:space="720"/>
          <w:noEndnote/>
        </w:sectPr>
      </w:pPr>
    </w:p>
    <w:p w:rsidR="00000000" w:rsidRDefault="00AD3FD9">
      <w:pPr>
        <w:kinsoku w:val="0"/>
        <w:overflowPunct w:val="0"/>
        <w:autoSpaceDE/>
        <w:autoSpaceDN/>
        <w:adjustRightInd/>
        <w:spacing w:line="297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Fonts w:ascii="Verdana" w:hAnsi="Verdana" w:cs="Verdana"/>
          <w:sz w:val="24"/>
          <w:szCs w:val="24"/>
          <w:lang w:val="es-ES" w:eastAsia="es-ES"/>
        </w:rPr>
        <w:t>dispuesto</w:t>
      </w:r>
      <w:proofErr w:type="gramEnd"/>
      <w:r>
        <w:rPr>
          <w:rFonts w:ascii="Verdana" w:hAnsi="Verdana" w:cs="Verdana"/>
          <w:sz w:val="24"/>
          <w:szCs w:val="24"/>
          <w:lang w:val="es-ES" w:eastAsia="es-ES"/>
        </w:rPr>
        <w:t xml:space="preserve"> y concerniente a la recurrente es un acto de trámite que es inimpugnable. (Léanse folios del 2 al 4 y del 39 al 42 del expediente administrativo)</w:t>
      </w:r>
    </w:p>
    <w:p w:rsidR="00000000" w:rsidRDefault="00AD3FD9" w:rsidP="00EB32FC">
      <w:pPr>
        <w:kinsoku w:val="0"/>
        <w:overflowPunct w:val="0"/>
        <w:autoSpaceDE/>
        <w:autoSpaceDN/>
        <w:adjustRightInd/>
        <w:spacing w:before="287" w:line="294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 xml:space="preserve">QUINTO: </w:t>
      </w:r>
      <w:r>
        <w:rPr>
          <w:rFonts w:ascii="Verdana" w:hAnsi="Verdana" w:cs="Verdana"/>
          <w:spacing w:val="5"/>
          <w:sz w:val="24"/>
          <w:szCs w:val="24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 xml:space="preserve">Artículo 7.4 de la Sesión Ordinaria No. 16-2014 del 05 de Marzo </w:t>
      </w:r>
      <w:r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 xml:space="preserve">del 2014, la Junta Directiva del Consejo de Transporte Público </w:t>
      </w:r>
      <w:r>
        <w:rPr>
          <w:rFonts w:ascii="Verdana" w:hAnsi="Verdana" w:cs="Verdana"/>
          <w:spacing w:val="5"/>
          <w:sz w:val="24"/>
          <w:szCs w:val="24"/>
          <w:lang w:val="es-ES" w:eastAsia="es-ES"/>
        </w:rPr>
        <w:t xml:space="preserve">dispone en su parte dispositiva </w:t>
      </w:r>
      <w:r>
        <w:rPr>
          <w:rFonts w:ascii="Verdana" w:hAnsi="Verdana" w:cs="Verdana"/>
          <w:i/>
          <w:iCs/>
          <w:spacing w:val="5"/>
          <w:sz w:val="24"/>
          <w:szCs w:val="24"/>
          <w:lang w:val="es-ES" w:eastAsia="es-ES"/>
        </w:rPr>
        <w:t>"1. Aprobar la precalificación de las siguientes empresas en virtud de que cumplieron con los requisitos establecidos en el artículo 4° de la Etapa de precalific</w:t>
      </w:r>
      <w:r>
        <w:rPr>
          <w:rFonts w:ascii="Verdana" w:hAnsi="Verdana" w:cs="Verdana"/>
          <w:i/>
          <w:iCs/>
          <w:spacing w:val="5"/>
          <w:sz w:val="24"/>
          <w:szCs w:val="24"/>
          <w:lang w:val="es-ES" w:eastAsia="es-ES"/>
        </w:rPr>
        <w:t xml:space="preserve">ación, con toda la evaluación documental previa de la capacidad empresarial" </w:t>
      </w:r>
      <w:r>
        <w:rPr>
          <w:rFonts w:ascii="Verdana" w:hAnsi="Verdana" w:cs="Verdana"/>
          <w:spacing w:val="5"/>
          <w:sz w:val="24"/>
          <w:szCs w:val="24"/>
          <w:lang w:val="es-ES" w:eastAsia="es-ES"/>
        </w:rPr>
        <w:t xml:space="preserve">y dentro de estas empresas se encuentra </w:t>
      </w:r>
      <w:r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>T</w:t>
      </w:r>
      <w:r w:rsidR="00EB32FC"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>.H.G.Y.P.S.A.</w:t>
      </w:r>
      <w:r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 xml:space="preserve"> en las rutas</w:t>
      </w:r>
      <w:r w:rsidR="00EB32FC">
        <w:rPr>
          <w:rFonts w:ascii="Verdana" w:hAnsi="Verdana" w:cs="Verdana"/>
          <w:b/>
          <w:bCs/>
          <w:spacing w:val="5"/>
          <w:sz w:val="24"/>
          <w:szCs w:val="24"/>
          <w:lang w:val="es-ES" w:eastAsia="es-ES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319,331 y 369. </w:t>
      </w:r>
      <w:r>
        <w:rPr>
          <w:rFonts w:ascii="Verdana" w:hAnsi="Verdana" w:cs="Verdana"/>
          <w:sz w:val="24"/>
          <w:szCs w:val="24"/>
          <w:lang w:val="es-ES" w:eastAsia="es-ES"/>
        </w:rPr>
        <w:t>(Léanse folios del</w:t>
      </w:r>
      <w:r w:rsidR="00EB32FC">
        <w:rPr>
          <w:rFonts w:ascii="Verdana" w:hAnsi="Verdana" w:cs="Verdana"/>
          <w:sz w:val="24"/>
          <w:szCs w:val="24"/>
          <w:lang w:val="es-ES" w:eastAsia="es-ES"/>
        </w:rPr>
        <w:t xml:space="preserve"> </w:t>
      </w:r>
      <w:r>
        <w:rPr>
          <w:rFonts w:ascii="Verdana" w:hAnsi="Verdana" w:cs="Verdana"/>
          <w:sz w:val="24"/>
          <w:szCs w:val="24"/>
          <w:lang w:val="es-ES" w:eastAsia="es-ES"/>
        </w:rPr>
        <w:t>131 al 134 del expediente</w:t>
      </w:r>
      <w:r w:rsidR="00EB32FC">
        <w:rPr>
          <w:rFonts w:ascii="Verdana" w:hAnsi="Verdana" w:cs="Verdana"/>
          <w:sz w:val="24"/>
          <w:szCs w:val="24"/>
          <w:lang w:val="es-ES" w:eastAsia="es-ES"/>
        </w:rPr>
        <w:t xml:space="preserve"> </w:t>
      </w:r>
      <w:r>
        <w:rPr>
          <w:rFonts w:ascii="Verdana" w:hAnsi="Verdana" w:cs="Verdana"/>
          <w:sz w:val="24"/>
          <w:szCs w:val="24"/>
          <w:lang w:val="es-ES" w:eastAsia="es-ES"/>
        </w:rPr>
        <w:t>administrativo)</w:t>
      </w:r>
    </w:p>
    <w:p w:rsidR="00000000" w:rsidRDefault="00AD3FD9">
      <w:pPr>
        <w:kinsoku w:val="0"/>
        <w:overflowPunct w:val="0"/>
        <w:autoSpaceDE/>
        <w:autoSpaceDN/>
        <w:adjustRightInd/>
        <w:spacing w:before="205" w:line="302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SEXTO: </w:t>
      </w:r>
      <w:r>
        <w:rPr>
          <w:rFonts w:ascii="Verdana" w:hAnsi="Verdana" w:cs="Verdana"/>
          <w:sz w:val="24"/>
          <w:szCs w:val="24"/>
          <w:lang w:val="es-ES" w:eastAsia="es-ES"/>
        </w:rPr>
        <w:t>En los procedimientos seguidos se han observado las prescripciones legales.</w:t>
      </w:r>
    </w:p>
    <w:p w:rsidR="00000000" w:rsidRDefault="00AD3FD9">
      <w:pPr>
        <w:kinsoku w:val="0"/>
        <w:overflowPunct w:val="0"/>
        <w:autoSpaceDE/>
        <w:autoSpaceDN/>
        <w:adjustRightInd/>
        <w:spacing w:before="283" w:line="300" w:lineRule="exact"/>
        <w:ind w:left="72" w:right="72"/>
        <w:textAlignment w:val="baseline"/>
        <w:rPr>
          <w:rFonts w:ascii="Verdana" w:hAnsi="Verdana" w:cs="Verdana"/>
          <w:i/>
          <w:iCs/>
          <w:spacing w:val="1"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4"/>
          <w:szCs w:val="24"/>
          <w:lang w:val="es-ES" w:eastAsia="es-ES"/>
        </w:rPr>
        <w:t xml:space="preserve">Redacta la Juez Pérez Peláez; </w:t>
      </w:r>
      <w:r>
        <w:rPr>
          <w:rFonts w:ascii="Verdana" w:hAnsi="Verdana" w:cs="Verdana"/>
          <w:i/>
          <w:iCs/>
          <w:spacing w:val="1"/>
          <w:sz w:val="24"/>
          <w:szCs w:val="24"/>
          <w:lang w:val="es-ES" w:eastAsia="es-ES"/>
        </w:rPr>
        <w:t>y,</w:t>
      </w:r>
    </w:p>
    <w:p w:rsidR="00000000" w:rsidRDefault="00AD3FD9">
      <w:pPr>
        <w:kinsoku w:val="0"/>
        <w:overflowPunct w:val="0"/>
        <w:autoSpaceDE/>
        <w:autoSpaceDN/>
        <w:adjustRightInd/>
        <w:spacing w:before="292" w:line="300" w:lineRule="exact"/>
        <w:ind w:left="72" w:right="72"/>
        <w:jc w:val="center"/>
        <w:textAlignment w:val="baseline"/>
        <w:rPr>
          <w:rFonts w:ascii="Verdana" w:hAnsi="Verdana" w:cs="Verdana"/>
          <w:b/>
          <w:bCs/>
          <w:sz w:val="24"/>
          <w:szCs w:val="24"/>
          <w:lang w:val="es-ES" w:eastAsia="es-ES"/>
        </w:rPr>
      </w:pP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CONSIDERANDO ÚNICO</w:t>
      </w:r>
    </w:p>
    <w:p w:rsidR="00000000" w:rsidRDefault="00AD3FD9">
      <w:pPr>
        <w:kinsoku w:val="0"/>
        <w:overflowPunct w:val="0"/>
        <w:autoSpaceDE/>
        <w:autoSpaceDN/>
        <w:adjustRightInd/>
        <w:spacing w:before="714" w:line="294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>Como se aprecia de las piezas del expediente, el asunto debe archivarse por falta de interé</w:t>
      </w:r>
      <w:r>
        <w:rPr>
          <w:rFonts w:ascii="Verdana" w:hAnsi="Verdana" w:cs="Verdana"/>
          <w:sz w:val="24"/>
          <w:szCs w:val="24"/>
          <w:lang w:val="es-ES" w:eastAsia="es-ES"/>
        </w:rPr>
        <w:t xml:space="preserve">s actual, toda vez que las pretensiones de la recurrente fueron satisfechas por el Consejo de Transporte Público, desde el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05 de Marzo del 2014, fecha en la que se adopta por parte de la Junta Directiva de dicho órgano el Artículo 7.4 de la Sesión Ordinari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a No. 16-2014, acto en el cual se dispone 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>"Aprobar la precalificación de las siguientes empresas en virtud de que cumplieron con los requisitos establecidos en el artículo 4° de la Etapa de precalificación, con toda la evaluación documental previa de la ca</w:t>
      </w:r>
      <w:r>
        <w:rPr>
          <w:rFonts w:ascii="Verdana" w:hAnsi="Verdana" w:cs="Verdana"/>
          <w:i/>
          <w:iCs/>
          <w:sz w:val="24"/>
          <w:szCs w:val="24"/>
          <w:lang w:val="es-ES" w:eastAsia="es-ES"/>
        </w:rPr>
        <w:t xml:space="preserve">pacidad empresarial" y </w:t>
      </w:r>
      <w:r>
        <w:rPr>
          <w:rFonts w:ascii="Verdana" w:hAnsi="Verdana" w:cs="Verdana"/>
          <w:sz w:val="24"/>
          <w:szCs w:val="24"/>
          <w:lang w:val="es-ES" w:eastAsia="es-ES"/>
        </w:rPr>
        <w:t>se le otorga dicho estatus a la Recurrente.</w:t>
      </w:r>
    </w:p>
    <w:p w:rsidR="00000000" w:rsidRDefault="00AD3FD9">
      <w:pPr>
        <w:kinsoku w:val="0"/>
        <w:overflowPunct w:val="0"/>
        <w:autoSpaceDE/>
        <w:autoSpaceDN/>
        <w:adjustRightInd/>
        <w:spacing w:before="546" w:after="1781" w:line="292" w:lineRule="exact"/>
        <w:ind w:left="72" w:right="72"/>
        <w:jc w:val="both"/>
        <w:textAlignment w:val="baseline"/>
        <w:rPr>
          <w:rFonts w:ascii="Verdana" w:hAnsi="Verdana" w:cs="Verdana"/>
          <w:sz w:val="24"/>
          <w:szCs w:val="24"/>
          <w:lang w:val="es-ES" w:eastAsia="es-ES"/>
        </w:rPr>
      </w:pPr>
      <w:r>
        <w:rPr>
          <w:rFonts w:ascii="Verdana" w:hAnsi="Verdana" w:cs="Verdana"/>
          <w:sz w:val="24"/>
          <w:szCs w:val="24"/>
          <w:lang w:val="es-ES" w:eastAsia="es-ES"/>
        </w:rPr>
        <w:t xml:space="preserve">Como se colige de lo dicho, la empresa Recurrente aprobó la etapa de precalificación para en el procedimiento abreviado para pasar de permisos a concesiones, en los términos del 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>Decreto Eje</w:t>
      </w:r>
      <w:r>
        <w:rPr>
          <w:rFonts w:ascii="Verdana" w:hAnsi="Verdana" w:cs="Verdana"/>
          <w:b/>
          <w:bCs/>
          <w:sz w:val="24"/>
          <w:szCs w:val="24"/>
          <w:lang w:val="es-ES" w:eastAsia="es-ES"/>
        </w:rPr>
        <w:t xml:space="preserve">cutivo número 37737-MOPT, </w:t>
      </w:r>
      <w:r>
        <w:rPr>
          <w:rFonts w:ascii="Verdana" w:hAnsi="Verdana" w:cs="Verdana"/>
          <w:sz w:val="24"/>
          <w:szCs w:val="24"/>
          <w:lang w:val="es-ES" w:eastAsia="es-ES"/>
        </w:rPr>
        <w:t>por lo cual carece de interés actual el Recurso presentado por estar satisfechas sus pretensiones.</w:t>
      </w:r>
    </w:p>
    <w:p w:rsidR="00000000" w:rsidRDefault="00AD3FD9">
      <w:pPr>
        <w:widowControl/>
        <w:rPr>
          <w:sz w:val="24"/>
          <w:szCs w:val="24"/>
        </w:rPr>
        <w:sectPr w:rsidR="00000000">
          <w:pgSz w:w="12134" w:h="15840"/>
          <w:pgMar w:top="1320" w:right="1410" w:bottom="324" w:left="1704" w:header="720" w:footer="720" w:gutter="0"/>
          <w:cols w:space="720"/>
          <w:noEndnote/>
        </w:sectPr>
      </w:pPr>
    </w:p>
    <w:p w:rsidR="00000000" w:rsidRDefault="00AD3FD9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20" w:right="2496" w:bottom="324" w:left="7618" w:header="720" w:footer="720" w:gutter="0"/>
          <w:cols w:space="720"/>
          <w:noEndnote/>
        </w:sectPr>
      </w:pPr>
    </w:p>
    <w:p w:rsidR="00000000" w:rsidRDefault="00AD3FD9">
      <w:pPr>
        <w:kinsoku w:val="0"/>
        <w:overflowPunct w:val="0"/>
        <w:autoSpaceDE/>
        <w:autoSpaceDN/>
        <w:adjustRightInd/>
        <w:spacing w:before="18" w:after="333" w:line="267" w:lineRule="exact"/>
        <w:jc w:val="center"/>
        <w:textAlignment w:val="baseline"/>
        <w:rPr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3"/>
          <w:szCs w:val="23"/>
          <w:lang w:val="es-ES" w:eastAsia="es-ES"/>
        </w:rPr>
        <w:t>POR TANTO</w:t>
      </w:r>
    </w:p>
    <w:p w:rsidR="00000000" w:rsidRDefault="00AD3FD9">
      <w:pPr>
        <w:widowControl/>
        <w:rPr>
          <w:sz w:val="24"/>
          <w:szCs w:val="24"/>
        </w:rPr>
        <w:sectPr w:rsidR="00000000">
          <w:pgSz w:w="12134" w:h="15840"/>
          <w:pgMar w:top="1700" w:right="4922" w:bottom="324" w:left="5192" w:header="720" w:footer="720" w:gutter="0"/>
          <w:cols w:space="720"/>
          <w:noEndnote/>
        </w:sectPr>
      </w:pPr>
    </w:p>
    <w:p w:rsidR="00000000" w:rsidRDefault="00AD3FD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1" w:line="294" w:lineRule="exact"/>
        <w:ind w:right="216"/>
        <w:jc w:val="both"/>
        <w:textAlignment w:val="baseline"/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</w:pPr>
      <w:r>
        <w:rPr>
          <w:rFonts w:ascii="Verdana" w:hAnsi="Verdana" w:cs="Verdana"/>
          <w:spacing w:val="6"/>
          <w:sz w:val="23"/>
          <w:szCs w:val="23"/>
          <w:lang w:val="es-ES" w:eastAsia="es-ES"/>
        </w:rPr>
        <w:t>Se ordena el archivo por falta de inter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és actual el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RECURSO DE APELACIÓN EN SUBSIDIO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y la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NULIDAD CONCOMITANTE,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presentado por la empresa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T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.H.G.Y.P.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S.A. cédula jurídica 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por medio de sus Apoderados Generalísimos sin Límite de Suma señores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D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.Q.S.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cédula de identidad número </w:t>
      </w:r>
      <w:r w:rsidR="00EB32FC">
        <w:rPr>
          <w:rFonts w:ascii="Verdana" w:hAnsi="Verdana" w:cs="Verdana"/>
          <w:spacing w:val="6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 y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P</w:t>
      </w:r>
      <w:r w:rsidR="00EB32FC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.D.Q.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, </w:t>
      </w:r>
      <w:r w:rsidR="00EB32FC">
        <w:rPr>
          <w:rFonts w:ascii="Verdana" w:hAnsi="Verdana" w:cs="Verdana"/>
          <w:spacing w:val="6"/>
          <w:sz w:val="23"/>
          <w:szCs w:val="23"/>
          <w:lang w:val="es-ES" w:eastAsia="es-ES"/>
        </w:rPr>
        <w:t>cédula de identidad número …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, contra el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Artículo 7.1 de la Sesión Ordinaria 94-2013, celebrada el 12 de diciembre de 2013 y el Artículo 7.1 de la Sesión Ordinaria 85-2013, celebra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da el 20 de noviembre de 2013 por la Junta Directiva del Consejo de Transporte Público.</w:t>
      </w:r>
    </w:p>
    <w:p w:rsidR="00000000" w:rsidRDefault="00AD3FD9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62" w:line="277" w:lineRule="exact"/>
        <w:ind w:right="216"/>
        <w:jc w:val="both"/>
        <w:textAlignment w:val="baseline"/>
        <w:rPr>
          <w:rFonts w:ascii="Verdana" w:hAnsi="Verdana" w:cs="Verdana"/>
          <w:b/>
          <w:bCs/>
          <w:i/>
          <w:iCs/>
          <w:sz w:val="23"/>
          <w:szCs w:val="23"/>
          <w:lang w:val="es-ES" w:eastAsia="es-ES"/>
        </w:rPr>
      </w:pPr>
      <w:r>
        <w:rPr>
          <w:rFonts w:ascii="Verdana" w:hAnsi="Verdana" w:cs="Verdana"/>
          <w:sz w:val="23"/>
          <w:szCs w:val="23"/>
          <w:lang w:val="es-ES" w:eastAsia="es-ES"/>
        </w:rPr>
        <w:t xml:space="preserve">Conforme las determinaciones del numeral 22, inciso c), de la Ley No. 7969, </w:t>
      </w:r>
      <w:r>
        <w:rPr>
          <w:rFonts w:ascii="Verdana" w:hAnsi="Verdana" w:cs="Verdana"/>
          <w:b/>
          <w:bCs/>
          <w:i/>
          <w:iCs/>
          <w:sz w:val="23"/>
          <w:szCs w:val="23"/>
          <w:lang w:val="es-ES" w:eastAsia="es-ES"/>
        </w:rPr>
        <w:t>se da por agotada la vía administrativa.</w:t>
      </w:r>
    </w:p>
    <w:p w:rsidR="00000000" w:rsidRDefault="00AD3FD9" w:rsidP="00EB32FC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76" w:after="354" w:line="267" w:lineRule="exact"/>
        <w:jc w:val="both"/>
        <w:textAlignment w:val="baseline"/>
        <w:rPr>
          <w:sz w:val="24"/>
          <w:szCs w:val="24"/>
        </w:rPr>
      </w:pPr>
      <w:r>
        <w:rPr>
          <w:rFonts w:ascii="Verdana" w:hAnsi="Verdana" w:cs="Verdana"/>
          <w:b/>
          <w:bCs/>
          <w:spacing w:val="-7"/>
          <w:sz w:val="23"/>
          <w:szCs w:val="23"/>
          <w:lang w:val="es-ES" w:eastAsia="es-ES"/>
        </w:rPr>
        <w:t>NOTIFIQUESE.</w:t>
      </w:r>
      <w:r w:rsidR="00EB32FC">
        <w:rPr>
          <w:sz w:val="24"/>
          <w:szCs w:val="24"/>
        </w:rPr>
        <w:t xml:space="preserve"> </w:t>
      </w:r>
    </w:p>
    <w:p w:rsidR="00EB32FC" w:rsidRDefault="00EB32FC" w:rsidP="00EB32FC">
      <w:pPr>
        <w:kinsoku w:val="0"/>
        <w:overflowPunct w:val="0"/>
        <w:autoSpaceDE/>
        <w:autoSpaceDN/>
        <w:adjustRightInd/>
        <w:spacing w:before="276" w:after="354" w:line="267" w:lineRule="exact"/>
        <w:jc w:val="both"/>
        <w:textAlignment w:val="baseline"/>
        <w:rPr>
          <w:sz w:val="24"/>
          <w:szCs w:val="24"/>
        </w:rPr>
      </w:pPr>
    </w:p>
    <w:p w:rsidR="00EB32FC" w:rsidRPr="00EB32FC" w:rsidRDefault="00EB32FC" w:rsidP="00EB32FC">
      <w:pPr>
        <w:kinsoku w:val="0"/>
        <w:overflowPunct w:val="0"/>
        <w:autoSpaceDE/>
        <w:autoSpaceDN/>
        <w:adjustRightInd/>
        <w:spacing w:before="329" w:after="374" w:line="320" w:lineRule="exact"/>
        <w:ind w:left="142" w:right="72"/>
        <w:jc w:val="center"/>
        <w:textAlignment w:val="baseline"/>
        <w:rPr>
          <w:rStyle w:val="CharacterStyle1"/>
          <w:bCs/>
          <w:sz w:val="24"/>
          <w:szCs w:val="24"/>
          <w:lang w:val="es-ES" w:eastAsia="es-ES"/>
        </w:rPr>
      </w:pPr>
      <w:r w:rsidRPr="00EB32FC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EB32FC" w:rsidRPr="00233E71" w:rsidRDefault="00EB32FC" w:rsidP="00EB32FC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 w:rsidRPr="00233E71"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EB32FC" w:rsidRPr="00233E71" w:rsidRDefault="00EB32FC" w:rsidP="00EB32FC">
      <w:pPr>
        <w:tabs>
          <w:tab w:val="left" w:pos="720"/>
        </w:tabs>
        <w:kinsoku w:val="0"/>
        <w:overflowPunct w:val="0"/>
        <w:autoSpaceDE/>
        <w:autoSpaceDN/>
        <w:adjustRightInd/>
        <w:spacing w:line="523" w:lineRule="exact"/>
        <w:jc w:val="center"/>
        <w:textAlignment w:val="baseline"/>
        <w:rPr>
          <w:b/>
          <w:bCs/>
          <w:sz w:val="25"/>
          <w:szCs w:val="25"/>
          <w:lang w:val="es-ES" w:eastAsia="es-ES"/>
        </w:rPr>
      </w:pPr>
      <w:proofErr w:type="spellStart"/>
      <w:proofErr w:type="gramStart"/>
      <w:r w:rsidRPr="00EB32FC">
        <w:rPr>
          <w:rStyle w:val="CharacterStyle1"/>
          <w:i/>
          <w:iCs/>
          <w:spacing w:val="5"/>
          <w:sz w:val="26"/>
          <w:szCs w:val="26"/>
        </w:rPr>
        <w:t>Licda</w:t>
      </w:r>
      <w:proofErr w:type="spellEnd"/>
      <w:r w:rsidRPr="00EB32FC">
        <w:rPr>
          <w:rStyle w:val="CharacterStyle1"/>
          <w:i/>
          <w:iCs/>
          <w:spacing w:val="5"/>
          <w:sz w:val="26"/>
          <w:szCs w:val="26"/>
        </w:rPr>
        <w:t>.</w:t>
      </w:r>
      <w:proofErr w:type="gramEnd"/>
      <w:r w:rsidRPr="00EB32FC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gramStart"/>
      <w:r w:rsidRPr="00EB32FC">
        <w:rPr>
          <w:rStyle w:val="CharacterStyle1"/>
          <w:i/>
          <w:iCs/>
          <w:spacing w:val="5"/>
          <w:sz w:val="26"/>
          <w:szCs w:val="26"/>
        </w:rPr>
        <w:t xml:space="preserve">Marta Luz </w:t>
      </w:r>
      <w:proofErr w:type="spellStart"/>
      <w:r w:rsidRPr="00EB32FC">
        <w:rPr>
          <w:rStyle w:val="CharacterStyle1"/>
          <w:i/>
          <w:iCs/>
          <w:spacing w:val="5"/>
          <w:sz w:val="26"/>
          <w:szCs w:val="26"/>
        </w:rPr>
        <w:t>Pérez</w:t>
      </w:r>
      <w:proofErr w:type="spellEnd"/>
      <w:r w:rsidRPr="00EB32FC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spellStart"/>
      <w:r w:rsidRPr="00EB32FC"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 w:rsidRPr="00EB32FC">
        <w:rPr>
          <w:rStyle w:val="CharacterStyle1"/>
          <w:i/>
          <w:iCs/>
          <w:spacing w:val="5"/>
          <w:sz w:val="26"/>
          <w:szCs w:val="26"/>
        </w:rPr>
        <w:t xml:space="preserve">       Lic.</w:t>
      </w:r>
      <w:proofErr w:type="gramEnd"/>
      <w:r w:rsidRPr="00EB32FC">
        <w:rPr>
          <w:rStyle w:val="CharacterStyle1"/>
          <w:i/>
          <w:iCs/>
          <w:spacing w:val="5"/>
          <w:sz w:val="26"/>
          <w:szCs w:val="26"/>
        </w:rPr>
        <w:t xml:space="preserve"> Mario Quesada Aguirre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  <w:t xml:space="preserve">                             </w:t>
      </w:r>
      <w:proofErr w:type="spellStart"/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proofErr w:type="spellEnd"/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 xml:space="preserve">    </w:t>
      </w:r>
      <w:r w:rsidRPr="00233E71">
        <w:rPr>
          <w:rStyle w:val="CharacterStyle1"/>
          <w:b/>
          <w:i/>
          <w:iCs/>
          <w:spacing w:val="5"/>
          <w:sz w:val="26"/>
          <w:szCs w:val="26"/>
        </w:rPr>
        <w:t xml:space="preserve">   J</w:t>
      </w:r>
      <w:r>
        <w:rPr>
          <w:rStyle w:val="CharacterStyle1"/>
          <w:b/>
          <w:i/>
          <w:iCs/>
          <w:spacing w:val="5"/>
          <w:sz w:val="26"/>
          <w:szCs w:val="26"/>
        </w:rPr>
        <w:t>uez</w:t>
      </w:r>
    </w:p>
    <w:p w:rsidR="00EB32FC" w:rsidRDefault="00EB32FC" w:rsidP="00EB32FC">
      <w:pPr>
        <w:kinsoku w:val="0"/>
        <w:overflowPunct w:val="0"/>
        <w:autoSpaceDE/>
        <w:autoSpaceDN/>
        <w:adjustRightInd/>
        <w:spacing w:before="276" w:after="354" w:line="267" w:lineRule="exact"/>
        <w:jc w:val="both"/>
        <w:textAlignment w:val="baseline"/>
        <w:rPr>
          <w:sz w:val="24"/>
          <w:szCs w:val="24"/>
        </w:rPr>
        <w:sectPr w:rsidR="00EB32FC">
          <w:type w:val="continuous"/>
          <w:pgSz w:w="12134" w:h="15840"/>
          <w:pgMar w:top="1700" w:right="1263" w:bottom="324" w:left="1771" w:header="720" w:footer="720" w:gutter="0"/>
          <w:cols w:space="720"/>
          <w:noEndnote/>
        </w:sectPr>
      </w:pPr>
    </w:p>
    <w:p w:rsidR="00AD3FD9" w:rsidRDefault="00AD3FD9" w:rsidP="00EB32FC">
      <w:pPr>
        <w:tabs>
          <w:tab w:val="right" w:pos="3024"/>
        </w:tabs>
        <w:kinsoku w:val="0"/>
        <w:overflowPunct w:val="0"/>
        <w:autoSpaceDE/>
        <w:autoSpaceDN/>
        <w:adjustRightInd/>
        <w:spacing w:before="30" w:line="260" w:lineRule="exact"/>
        <w:textAlignment w:val="baseline"/>
        <w:rPr>
          <w:rFonts w:ascii="Verdana" w:hAnsi="Verdana" w:cs="Verdana"/>
          <w:sz w:val="16"/>
          <w:szCs w:val="16"/>
          <w:lang w:val="es-ES" w:eastAsia="es-ES"/>
        </w:rPr>
      </w:pPr>
    </w:p>
    <w:sectPr w:rsidR="00AD3FD9">
      <w:type w:val="continuous"/>
      <w:pgSz w:w="12134" w:h="15840"/>
      <w:pgMar w:top="1700" w:right="1442" w:bottom="324" w:left="76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F670"/>
    <w:multiLevelType w:val="singleLevel"/>
    <w:tmpl w:val="7BF4CB5A"/>
    <w:lvl w:ilvl="0">
      <w:start w:val="1"/>
      <w:numFmt w:val="lowerLetter"/>
      <w:lvlText w:val="%1)-"/>
      <w:lvlJc w:val="left"/>
      <w:pPr>
        <w:tabs>
          <w:tab w:val="num" w:pos="720"/>
        </w:tabs>
        <w:ind w:left="72"/>
      </w:pPr>
      <w:rPr>
        <w:rFonts w:ascii="Verdana" w:hAnsi="Verdana" w:cs="Verdana"/>
        <w:snapToGrid/>
        <w:sz w:val="24"/>
        <w:szCs w:val="24"/>
      </w:rPr>
    </w:lvl>
  </w:abstractNum>
  <w:abstractNum w:abstractNumId="1">
    <w:nsid w:val="07C817DF"/>
    <w:multiLevelType w:val="singleLevel"/>
    <w:tmpl w:val="087D59A9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rFonts w:ascii="Verdana" w:hAnsi="Verdana" w:cs="Verdana"/>
        <w:snapToGrid/>
        <w:spacing w:val="6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)-"/>
        <w:lvlJc w:val="left"/>
        <w:pPr>
          <w:tabs>
            <w:tab w:val="num" w:pos="576"/>
          </w:tabs>
          <w:ind w:left="72"/>
        </w:pPr>
        <w:rPr>
          <w:rFonts w:ascii="Verdana" w:hAnsi="Verdana" w:cs="Verdana"/>
          <w:snapToGrid/>
          <w:sz w:val="24"/>
          <w:szCs w:val="24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snapToGrid/>
          <w:sz w:val="23"/>
          <w:szCs w:val="23"/>
        </w:rPr>
      </w:lvl>
    </w:lvlOverride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b/>
          <w:bCs/>
          <w:snapToGrid/>
          <w:spacing w:val="-7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BE236C"/>
    <w:rsid w:val="00AD3FD9"/>
    <w:rsid w:val="00BE236C"/>
    <w:rsid w:val="00EB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B32FC"/>
    <w:rPr>
      <w:lang w:val="es-CR"/>
    </w:rPr>
  </w:style>
  <w:style w:type="character" w:customStyle="1" w:styleId="CharacterStyle1">
    <w:name w:val="Character Style 1"/>
    <w:uiPriority w:val="99"/>
    <w:rsid w:val="00EB32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2016-01-28T16:50:00Z</dcterms:created>
  <dcterms:modified xsi:type="dcterms:W3CDTF">2016-01-28T16:50:00Z</dcterms:modified>
</cp:coreProperties>
</file>